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lang w:eastAsia="zh-CN"/>
        </w:rPr>
      </w:pPr>
      <w:bookmarkStart w:id="0" w:name="_GoBack"/>
      <w:bookmarkEnd w:id="0"/>
      <w:r>
        <w:rPr>
          <w:rFonts w:hint="eastAsia" w:ascii="黑体" w:hAnsi="黑体" w:eastAsia="黑体" w:cs="黑体"/>
        </w:rPr>
        <w:t>景德镇市</w:t>
      </w:r>
      <w:r>
        <w:rPr>
          <w:rFonts w:hint="eastAsia" w:ascii="黑体" w:hAnsi="黑体" w:eastAsia="黑体" w:cs="黑体"/>
          <w:lang w:val="en-US" w:eastAsia="zh-CN"/>
        </w:rPr>
        <w:t>浯溪口水利枢纽工程管理办公室2020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浯溪口水利枢纽工程管理办公室</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浯溪口水利枢纽工程管理办公室2020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hint="eastAsia" w:ascii="黑体" w:hAnsi="宋体" w:eastAsia="黑体" w:cs="黑体"/>
          <w:sz w:val="32"/>
          <w:szCs w:val="32"/>
          <w:lang w:val="en-US" w:eastAsia="zh-CN"/>
        </w:rPr>
        <w:t>景德镇市浯溪口水利枢纽工程管理办公室2020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浯溪口水利枢纽工程管理办公室</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widowControl/>
        <w:spacing w:line="600" w:lineRule="exact"/>
        <w:ind w:firstLine="640"/>
        <w:jc w:val="left"/>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浯溪口水利枢纽工程管理办公室</w:t>
      </w:r>
      <w:r>
        <w:rPr>
          <w:rFonts w:hint="eastAsia" w:ascii="仿宋_GB2312" w:hAnsi="宋体" w:eastAsia="仿宋_GB2312" w:cs="仿宋_GB2312"/>
          <w:sz w:val="32"/>
          <w:szCs w:val="32"/>
        </w:rPr>
        <w:t>是主管工作的市政府直属机构，主要职责是：</w:t>
      </w:r>
    </w:p>
    <w:p>
      <w:pPr>
        <w:widowControl/>
        <w:spacing w:line="600" w:lineRule="exact"/>
        <w:ind w:firstLine="640"/>
        <w:jc w:val="left"/>
        <w:rPr>
          <w:rFonts w:hint="eastAsia" w:ascii="仿宋" w:hAnsi="仿宋" w:eastAsia="仿宋"/>
          <w:sz w:val="32"/>
          <w:szCs w:val="30"/>
          <w:lang w:val="en-US" w:eastAsia="zh-CN"/>
        </w:rPr>
      </w:pPr>
      <w:r>
        <w:rPr>
          <w:rFonts w:hint="eastAsia" w:ascii="仿宋" w:hAnsi="仿宋" w:eastAsia="仿宋"/>
          <w:sz w:val="32"/>
          <w:szCs w:val="30"/>
          <w:lang w:eastAsia="zh-CN"/>
        </w:rPr>
        <w:t>（</w:t>
      </w:r>
      <w:r>
        <w:rPr>
          <w:rFonts w:hint="eastAsia" w:ascii="仿宋" w:hAnsi="仿宋" w:eastAsia="仿宋"/>
          <w:sz w:val="32"/>
          <w:szCs w:val="30"/>
          <w:lang w:val="en-US" w:eastAsia="zh-CN"/>
        </w:rPr>
        <w:t>一）贯彻执行党的路线方针、政策和国家法律法规，依法管理浯溪口水利枢纽工程建设运行；</w:t>
      </w:r>
    </w:p>
    <w:p>
      <w:pPr>
        <w:widowControl/>
        <w:spacing w:line="600" w:lineRule="exact"/>
        <w:ind w:firstLine="640"/>
        <w:jc w:val="left"/>
        <w:rPr>
          <w:rFonts w:hint="eastAsia" w:ascii="仿宋" w:hAnsi="仿宋" w:eastAsia="仿宋"/>
          <w:sz w:val="32"/>
          <w:szCs w:val="30"/>
          <w:lang w:val="en-US" w:eastAsia="zh-CN"/>
        </w:rPr>
      </w:pPr>
      <w:r>
        <w:rPr>
          <w:rFonts w:hint="eastAsia" w:ascii="仿宋" w:hAnsi="仿宋" w:eastAsia="仿宋"/>
          <w:sz w:val="32"/>
          <w:szCs w:val="30"/>
          <w:lang w:val="en-US" w:eastAsia="zh-CN"/>
        </w:rPr>
        <w:t>（二）负责制定市浯溪口水利枢纽工程保护管理和工作发展规划以及防汛抗洪、应急抢险等预案的制定和实施；</w:t>
      </w:r>
    </w:p>
    <w:p>
      <w:pPr>
        <w:widowControl/>
        <w:spacing w:line="600" w:lineRule="exact"/>
        <w:ind w:firstLine="640"/>
        <w:jc w:val="left"/>
        <w:rPr>
          <w:rFonts w:hint="eastAsia" w:ascii="仿宋" w:hAnsi="仿宋" w:eastAsia="仿宋"/>
          <w:sz w:val="32"/>
          <w:szCs w:val="30"/>
          <w:lang w:val="en-US" w:eastAsia="zh-CN"/>
        </w:rPr>
      </w:pPr>
      <w:r>
        <w:rPr>
          <w:rFonts w:hint="eastAsia" w:ascii="仿宋" w:hAnsi="仿宋" w:eastAsia="仿宋"/>
          <w:sz w:val="32"/>
          <w:szCs w:val="30"/>
          <w:lang w:val="en-US" w:eastAsia="zh-CN"/>
        </w:rPr>
        <w:t>（三）负责市浯溪口水利枢纽工程防汛抗旱工作，根据主管部门批准的调度方案和指令，做好水库调度运用；协调做好防汛抗旱与兴利关系，充分发挥防洪、抗旱、供水、发电、生态等综合功能；</w:t>
      </w:r>
    </w:p>
    <w:p>
      <w:pPr>
        <w:widowControl/>
        <w:spacing w:line="600" w:lineRule="exact"/>
        <w:ind w:firstLine="640"/>
        <w:jc w:val="left"/>
        <w:rPr>
          <w:rFonts w:hint="eastAsia" w:ascii="仿宋" w:hAnsi="仿宋" w:eastAsia="仿宋"/>
          <w:sz w:val="32"/>
          <w:szCs w:val="30"/>
          <w:lang w:val="en-US" w:eastAsia="zh-CN"/>
        </w:rPr>
      </w:pPr>
      <w:r>
        <w:rPr>
          <w:rFonts w:hint="eastAsia" w:ascii="仿宋" w:hAnsi="仿宋" w:eastAsia="仿宋"/>
          <w:sz w:val="32"/>
          <w:szCs w:val="30"/>
          <w:lang w:val="en-US" w:eastAsia="zh-CN"/>
        </w:rPr>
        <w:t>（四）负责市浯溪口水利枢纽工程涉及公共安全的各建筑物、附属设施的安全运行和管理；委托江西省景德镇浯溪口水利枢纽工程开发有限公司做好发电、供水设施和闸门及配套设施的使用与日常维修养护工作，并对其进行监督和指导，保证这些设施运用的完好；负责枢纽维修养护经费的使用和管理；</w:t>
      </w:r>
    </w:p>
    <w:p>
      <w:pPr>
        <w:widowControl/>
        <w:spacing w:line="600" w:lineRule="exact"/>
        <w:ind w:firstLine="640"/>
        <w:jc w:val="left"/>
        <w:rPr>
          <w:rFonts w:hint="eastAsia" w:ascii="仿宋" w:hAnsi="仿宋" w:eastAsia="仿宋"/>
          <w:sz w:val="32"/>
          <w:szCs w:val="30"/>
          <w:lang w:val="en-US" w:eastAsia="zh-CN"/>
        </w:rPr>
      </w:pPr>
      <w:r>
        <w:rPr>
          <w:rFonts w:hint="eastAsia" w:ascii="仿宋" w:hAnsi="仿宋" w:eastAsia="仿宋"/>
          <w:sz w:val="32"/>
          <w:szCs w:val="30"/>
          <w:lang w:val="en-US" w:eastAsia="zh-CN"/>
        </w:rPr>
        <w:t>（五）负责浯溪口水利枢纽工程的大坝安全监测和水文、水情报告及其他设施的运行管理和维护；</w:t>
      </w:r>
    </w:p>
    <w:p>
      <w:pPr>
        <w:widowControl/>
        <w:spacing w:line="600" w:lineRule="exact"/>
        <w:ind w:firstLine="640"/>
        <w:jc w:val="left"/>
        <w:rPr>
          <w:rFonts w:hint="eastAsia" w:ascii="仿宋" w:hAnsi="仿宋" w:eastAsia="仿宋"/>
          <w:sz w:val="32"/>
          <w:szCs w:val="30"/>
          <w:lang w:val="en-US" w:eastAsia="zh-CN"/>
        </w:rPr>
      </w:pPr>
      <w:r>
        <w:rPr>
          <w:rFonts w:hint="eastAsia" w:ascii="仿宋" w:hAnsi="仿宋" w:eastAsia="仿宋"/>
          <w:sz w:val="32"/>
          <w:szCs w:val="30"/>
          <w:lang w:val="en-US" w:eastAsia="zh-CN"/>
        </w:rPr>
        <w:t>（六）负责市浯溪口水利枢纽工程库区水域的使用管理；</w:t>
      </w:r>
    </w:p>
    <w:p>
      <w:pPr>
        <w:widowControl/>
        <w:spacing w:line="600" w:lineRule="exact"/>
        <w:ind w:firstLine="640"/>
        <w:jc w:val="left"/>
        <w:rPr>
          <w:rFonts w:hint="eastAsia" w:ascii="仿宋" w:hAnsi="仿宋" w:eastAsia="仿宋"/>
          <w:sz w:val="32"/>
          <w:szCs w:val="30"/>
          <w:lang w:val="en-US" w:eastAsia="zh-CN"/>
        </w:rPr>
      </w:pPr>
      <w:r>
        <w:rPr>
          <w:rFonts w:hint="eastAsia" w:ascii="仿宋" w:hAnsi="仿宋" w:eastAsia="仿宋"/>
          <w:sz w:val="32"/>
          <w:szCs w:val="30"/>
          <w:lang w:val="en-US" w:eastAsia="zh-CN"/>
        </w:rPr>
        <w:t>（七）负责管理、使用市水利枢纽工程的水源保护专项经费，配合当地政府和有关部门做好水域保护范围内的生态、环境保护等工作；</w:t>
      </w:r>
    </w:p>
    <w:p>
      <w:pPr>
        <w:ind w:firstLine="640" w:firstLineChars="200"/>
        <w:rPr>
          <w:rFonts w:ascii="仿宋_GB2312" w:eastAsia="仿宋_GB2312" w:cs="Times New Roman"/>
          <w:sz w:val="32"/>
          <w:szCs w:val="32"/>
        </w:rPr>
      </w:pPr>
      <w:r>
        <w:rPr>
          <w:rFonts w:hint="eastAsia" w:ascii="仿宋" w:hAnsi="仿宋" w:eastAsia="仿宋"/>
          <w:sz w:val="32"/>
          <w:szCs w:val="30"/>
          <w:lang w:val="en-US" w:eastAsia="zh-CN"/>
        </w:rPr>
        <w:t>（八）承办市人民政府和主管部门交办的其他事项。</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浯溪口水利枢纽工程管理办公室</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w:t>
      </w:r>
      <w:r>
        <w:rPr>
          <w:rFonts w:hint="eastAsia" w:ascii="仿宋_GB2312" w:hAnsi="宋体" w:eastAsia="仿宋_GB2312" w:cs="仿宋_GB2312"/>
          <w:sz w:val="32"/>
          <w:szCs w:val="32"/>
          <w:lang w:val="en-US" w:eastAsia="zh-CN"/>
        </w:rPr>
        <w:t>即浯溪口水利枢纽工程管理办公室</w:t>
      </w:r>
      <w:r>
        <w:rPr>
          <w:rFonts w:hint="eastAsia" w:ascii="仿宋_GB2312" w:hAnsi="宋体" w:eastAsia="仿宋_GB2312" w:cs="仿宋_GB2312"/>
          <w:sz w:val="32"/>
          <w:szCs w:val="32"/>
        </w:rPr>
        <w:t>本级。编制数为</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17</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17</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17</w:t>
      </w:r>
      <w:r>
        <w:rPr>
          <w:rFonts w:hint="eastAsia" w:ascii="仿宋_GB2312" w:hAnsi="宋体" w:eastAsia="仿宋_GB2312" w:cs="仿宋_GB2312"/>
          <w:sz w:val="32"/>
          <w:szCs w:val="32"/>
        </w:rPr>
        <w:t>人、部分补助事业编人员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人。在校学生</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人，其中：高等学校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人、中等专业学校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人，其他</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w:t>
      </w:r>
    </w:p>
    <w:p>
      <w:pPr>
        <w:ind w:firstLine="640" w:firstLineChars="200"/>
        <w:rPr>
          <w:rFonts w:hint="eastAsia" w:ascii="仿宋_GB2312" w:hAnsi="宋体" w:eastAsia="仿宋_GB2312" w:cs="仿宋_GB2312"/>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hint="eastAsia" w:ascii="仿宋_GB2312" w:hAnsi="宋体" w:eastAsia="仿宋_GB2312" w:cs="仿宋_GB2312"/>
          <w:b/>
          <w:bCs/>
          <w:sz w:val="32"/>
          <w:szCs w:val="32"/>
          <w:lang w:val="en-US" w:eastAsia="zh-CN"/>
        </w:rPr>
        <w:t>浯溪口水利枢纽工程管理办公室</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浯溪口水利枢纽工程管理办公室</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278.94</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val="en-US" w:eastAsia="zh-CN"/>
        </w:rPr>
        <w:t>加了48.10%</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主要是因为增加了预留其他支出67万元</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278.94</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市浯溪口水利枢纽工程管理办公室</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278.94</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val="en-US" w:eastAsia="zh-CN"/>
        </w:rPr>
        <w:t>加了48.10%</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主要是因为增加了预留其他支出67万元</w:t>
      </w:r>
      <w:r>
        <w:rPr>
          <w:rFonts w:hint="eastAsia" w:ascii="仿宋_GB2312" w:hAnsi="宋体" w:eastAsia="仿宋_GB2312" w:cs="仿宋_GB2312"/>
          <w:sz w:val="32"/>
          <w:szCs w:val="32"/>
        </w:rPr>
        <w:t>。其中：按支出项目类别划分：基本支出255.94万元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占支出预算总额的91.75%</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其中:工资福利支出224.28万元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商品和服务支出31.66万元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项目支出23.00万元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占支出预算总额的8.25%</w:t>
      </w:r>
      <w:r>
        <w:rPr>
          <w:rFonts w:hint="eastAsia" w:ascii="仿宋_GB2312" w:hAnsi="宋体" w:eastAsia="仿宋_GB2312" w:cs="仿宋_GB2312"/>
          <w:sz w:val="32"/>
          <w:szCs w:val="32"/>
          <w:lang w:eastAsia="zh-CN"/>
        </w:rPr>
        <w:t>。</w:t>
      </w:r>
    </w:p>
    <w:p>
      <w:pPr>
        <w:ind w:firstLine="640" w:firstLineChars="200"/>
        <w:rPr>
          <w:rFonts w:hint="eastAsia" w:ascii="仿宋_GB2312" w:hAnsi="仿宋_GB2312" w:eastAsia="仿宋_GB2312" w:cs="仿宋_GB2312"/>
          <w:sz w:val="28"/>
          <w:szCs w:val="28"/>
          <w:lang w:eastAsia="zh-CN"/>
        </w:rPr>
      </w:pPr>
      <w:r>
        <w:rPr>
          <w:rFonts w:hint="eastAsia" w:ascii="仿宋_GB2312" w:hAnsi="宋体" w:eastAsia="仿宋_GB2312" w:cs="仿宋_GB2312"/>
          <w:sz w:val="32"/>
          <w:szCs w:val="32"/>
        </w:rPr>
        <w:t>按支出功能项目科目划分社会保障和就业支出17.82万元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占公共财政拨款支出预算的6.39%</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卫生健康支出10.80万元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占公共财政拨款支出预算的3.87%</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农林水支出236.95万元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占公共财政拨款支出预算的84.95%</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住房保障支出13.37万元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占公共财政拨款支出预算的4.79%</w:t>
      </w:r>
      <w:r>
        <w:rPr>
          <w:rFonts w:hint="eastAsia" w:ascii="仿宋_GB2312" w:hAnsi="宋体" w:eastAsia="仿宋_GB2312" w:cs="仿宋_GB2312"/>
          <w:sz w:val="32"/>
          <w:szCs w:val="32"/>
          <w:lang w:eastAsia="zh-CN"/>
        </w:rPr>
        <w:t>。</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按支出经济分类划分：工资福利支出</w:t>
      </w:r>
      <w:r>
        <w:rPr>
          <w:rFonts w:hint="eastAsia" w:ascii="仿宋_GB2312" w:hAnsi="仿宋_GB2312" w:eastAsia="仿宋_GB2312" w:cs="仿宋_GB2312"/>
          <w:sz w:val="28"/>
          <w:szCs w:val="28"/>
        </w:rPr>
        <w:t>224.2</w:t>
      </w:r>
      <w:r>
        <w:rPr>
          <w:rFonts w:hint="eastAsia" w:ascii="仿宋_GB2312" w:hAnsi="仿宋_GB2312" w:eastAsia="仿宋_GB2312" w:cs="仿宋_GB2312"/>
          <w:sz w:val="28"/>
          <w:szCs w:val="28"/>
          <w:lang w:val="en-US" w:eastAsia="zh-CN"/>
        </w:rPr>
        <w:t>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80.40</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31.66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19.60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hAnsi="仿宋_GB2312" w:eastAsia="仿宋_GB2312" w:cs="仿宋_GB2312"/>
          <w:sz w:val="28"/>
          <w:szCs w:val="28"/>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市浯溪口水利枢纽工程管理办公室</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278.94</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val="en-US" w:eastAsia="zh-CN"/>
        </w:rPr>
        <w:t>加了48.10%，主要是增加了预留其他支出67万元</w:t>
      </w:r>
      <w:r>
        <w:rPr>
          <w:rFonts w:hint="eastAsia" w:ascii="仿宋_GB2312" w:hAnsi="宋体" w:eastAsia="仿宋_GB2312" w:cs="仿宋_GB2312"/>
          <w:sz w:val="32"/>
          <w:szCs w:val="32"/>
        </w:rPr>
        <w:t>。具体支出情况是：农林水事务</w:t>
      </w:r>
      <w:r>
        <w:rPr>
          <w:rFonts w:hint="eastAsia" w:ascii="仿宋_GB2312" w:hAnsi="宋体" w:eastAsia="仿宋_GB2312" w:cs="仿宋_GB2312"/>
          <w:sz w:val="32"/>
          <w:szCs w:val="32"/>
          <w:lang w:val="en-US" w:eastAsia="zh-CN"/>
        </w:rPr>
        <w:t>236.95</w:t>
      </w:r>
      <w:r>
        <w:rPr>
          <w:rFonts w:hint="eastAsia" w:ascii="仿宋_GB2312" w:hAnsi="宋体" w:eastAsia="仿宋_GB2312" w:cs="仿宋_GB2312"/>
          <w:sz w:val="32"/>
          <w:szCs w:val="32"/>
        </w:rPr>
        <w:t>万元，占公共财政拨款支出预算的84.95%</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社会保障和就业支出17.82万元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占公共财政拨款支出预算的6.39%</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卫生健康支出10.80万元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占公共财政拨款支出预算的3.87%</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住房保障支出13.37万元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占公共财政拨款支出预算的4.79%</w:t>
      </w:r>
      <w:r>
        <w:rPr>
          <w:rFonts w:hint="eastAsia" w:ascii="仿宋_GB2312" w:hAnsi="宋体" w:eastAsia="仿宋_GB2312" w:cs="仿宋_GB2312"/>
          <w:sz w:val="32"/>
          <w:szCs w:val="32"/>
          <w:lang w:eastAsia="zh-CN"/>
        </w:rPr>
        <w:t>。</w:t>
      </w:r>
    </w:p>
    <w:p>
      <w:pPr>
        <w:ind w:firstLine="640" w:firstLineChars="200"/>
        <w:rPr>
          <w:rFonts w:ascii="仿宋_GB2312" w:eastAsia="仿宋_GB2312" w:cs="Times New Roman"/>
          <w:sz w:val="32"/>
          <w:szCs w:val="32"/>
        </w:rPr>
      </w:pP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无政府采购预算。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年市</w:t>
      </w:r>
      <w:r>
        <w:rPr>
          <w:rFonts w:hint="eastAsia" w:ascii="仿宋_GB2312" w:hAnsi="宋体" w:eastAsia="仿宋_GB2312" w:cs="仿宋_GB2312"/>
          <w:sz w:val="32"/>
          <w:szCs w:val="32"/>
          <w:lang w:val="en-US" w:eastAsia="zh-CN"/>
        </w:rPr>
        <w:t>浯溪口水利枢纽工程管理办公室</w:t>
      </w:r>
      <w:r>
        <w:rPr>
          <w:rFonts w:hint="eastAsia" w:ascii="仿宋_GB2312" w:hAnsi="宋体" w:eastAsia="仿宋_GB2312" w:cs="仿宋_GB2312"/>
          <w:sz w:val="32"/>
          <w:szCs w:val="32"/>
        </w:rPr>
        <w:t>局“三公”经费年初预算安排</w:t>
      </w:r>
      <w:r>
        <w:rPr>
          <w:rFonts w:hint="eastAsia" w:ascii="仿宋_GB2312" w:hAnsi="宋体" w:eastAsia="仿宋_GB2312" w:cs="仿宋_GB2312"/>
          <w:sz w:val="32"/>
          <w:szCs w:val="32"/>
          <w:lang w:val="en-US" w:eastAsia="zh-CN"/>
        </w:rPr>
        <w:t>6.78</w:t>
      </w:r>
      <w:r>
        <w:rPr>
          <w:rFonts w:hint="eastAsia" w:ascii="仿宋_GB2312" w:hAnsi="宋体" w:eastAsia="仿宋_GB2312" w:cs="仿宋_GB2312"/>
          <w:sz w:val="32"/>
          <w:szCs w:val="32"/>
        </w:rPr>
        <w:t>万元。其中：公务接待费</w:t>
      </w:r>
      <w:r>
        <w:rPr>
          <w:rFonts w:hint="eastAsia" w:ascii="仿宋_GB2312" w:hAnsi="宋体" w:eastAsia="仿宋_GB2312" w:cs="仿宋_GB2312"/>
          <w:sz w:val="32"/>
          <w:szCs w:val="32"/>
          <w:lang w:val="en-US" w:eastAsia="zh-CN"/>
        </w:rPr>
        <w:t>1.6</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与上年持平</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5.18</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5.18</w:t>
      </w:r>
      <w:r>
        <w:rPr>
          <w:rFonts w:hint="eastAsia" w:ascii="仿宋_GB2312" w:hAnsi="宋体" w:eastAsia="仿宋_GB2312" w:cs="仿宋_GB2312"/>
          <w:sz w:val="32"/>
          <w:szCs w:val="32"/>
        </w:rPr>
        <w:t>万元，主要原因：</w:t>
      </w:r>
      <w:r>
        <w:rPr>
          <w:rFonts w:hint="eastAsia" w:ascii="仿宋_GB2312" w:eastAsia="仿宋_GB2312" w:cs="仿宋_GB2312"/>
          <w:sz w:val="32"/>
          <w:szCs w:val="32"/>
          <w:lang w:val="en-US" w:eastAsia="zh-CN"/>
        </w:rPr>
        <w:t>2019年新增2辆公务用车</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lang w:eastAsia="zh-CN"/>
        </w:rPr>
      </w:pPr>
    </w:p>
    <w:p>
      <w:pPr>
        <w:numPr>
          <w:ilvl w:val="0"/>
          <w:numId w:val="2"/>
        </w:numPr>
        <w:jc w:val="both"/>
        <w:rPr>
          <w:rFonts w:hint="eastAsia" w:ascii="黑体" w:hAnsi="宋体" w:eastAsia="黑体" w:cs="黑体"/>
          <w:sz w:val="32"/>
          <w:szCs w:val="32"/>
        </w:rPr>
      </w:pP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val="en-US" w:eastAsia="zh-CN"/>
        </w:rPr>
        <w:t>浯溪口水利枢纽工程管理办公室2020</w:t>
      </w:r>
      <w:r>
        <w:rPr>
          <w:rFonts w:hint="eastAsia" w:ascii="黑体" w:hAnsi="宋体" w:eastAsia="黑体" w:cs="黑体"/>
          <w:sz w:val="32"/>
          <w:szCs w:val="32"/>
        </w:rPr>
        <w:t>年部门预算表</w:t>
      </w:r>
    </w:p>
    <w:p>
      <w:pPr>
        <w:numPr>
          <w:ilvl w:val="0"/>
          <w:numId w:val="0"/>
        </w:numPr>
        <w:jc w:val="both"/>
        <w:rPr>
          <w:rFonts w:hint="eastAsia" w:ascii="黑体" w:hAnsi="宋体" w:eastAsia="黑体" w:cs="黑体"/>
          <w:sz w:val="32"/>
          <w:szCs w:val="32"/>
          <w:lang w:eastAsia="zh-CN"/>
        </w:rPr>
      </w:pPr>
      <w:r>
        <w:rPr>
          <w:rFonts w:hint="eastAsia" w:ascii="黑体" w:hAnsi="宋体" w:eastAsia="黑体" w:cs="黑体"/>
          <w:sz w:val="32"/>
          <w:szCs w:val="32"/>
          <w:lang w:eastAsia="zh-CN"/>
        </w:rPr>
        <w:drawing>
          <wp:inline distT="0" distB="0" distL="114300" distR="114300">
            <wp:extent cx="5264785" cy="2553335"/>
            <wp:effectExtent l="0" t="0" r="12065" b="18415"/>
            <wp:docPr id="9" name="图片 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
                    <pic:cNvPicPr>
                      <a:picLocks noChangeAspect="1"/>
                    </pic:cNvPicPr>
                  </pic:nvPicPr>
                  <pic:blipFill>
                    <a:blip r:embed="rId5"/>
                    <a:stretch>
                      <a:fillRect/>
                    </a:stretch>
                  </pic:blipFill>
                  <pic:spPr>
                    <a:xfrm>
                      <a:off x="0" y="0"/>
                      <a:ext cx="5264785" cy="2553335"/>
                    </a:xfrm>
                    <a:prstGeom prst="rect">
                      <a:avLst/>
                    </a:prstGeom>
                  </pic:spPr>
                </pic:pic>
              </a:graphicData>
            </a:graphic>
          </wp:inline>
        </w:drawing>
      </w:r>
      <w:r>
        <w:rPr>
          <w:rFonts w:hint="eastAsia" w:ascii="黑体" w:hAnsi="宋体" w:eastAsia="黑体" w:cs="黑体"/>
          <w:sz w:val="32"/>
          <w:szCs w:val="32"/>
          <w:lang w:eastAsia="zh-CN"/>
        </w:rPr>
        <w:drawing>
          <wp:inline distT="0" distB="0" distL="114300" distR="114300">
            <wp:extent cx="5266690" cy="3140710"/>
            <wp:effectExtent l="0" t="0" r="10160" b="2540"/>
            <wp:docPr id="1"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
                    <pic:cNvPicPr>
                      <a:picLocks noChangeAspect="1"/>
                    </pic:cNvPicPr>
                  </pic:nvPicPr>
                  <pic:blipFill>
                    <a:blip r:embed="rId6"/>
                    <a:stretch>
                      <a:fillRect/>
                    </a:stretch>
                  </pic:blipFill>
                  <pic:spPr>
                    <a:xfrm>
                      <a:off x="0" y="0"/>
                      <a:ext cx="5266690" cy="3140710"/>
                    </a:xfrm>
                    <a:prstGeom prst="rect">
                      <a:avLst/>
                    </a:prstGeom>
                  </pic:spPr>
                </pic:pic>
              </a:graphicData>
            </a:graphic>
          </wp:inline>
        </w:drawing>
      </w:r>
    </w:p>
    <w:p>
      <w:pPr>
        <w:rPr>
          <w:rFonts w:hint="eastAsia" w:ascii="仿宋_GB2312" w:hAnsi="宋体" w:eastAsia="仿宋_GB2312" w:cs="仿宋_GB2312"/>
          <w:sz w:val="32"/>
          <w:szCs w:val="32"/>
          <w:shd w:val="clear" w:color="FFFFFF" w:fill="D9D9D9"/>
          <w:lang w:eastAsia="zh-CN"/>
        </w:rPr>
      </w:pPr>
      <w:r>
        <w:rPr>
          <w:rFonts w:hint="eastAsia" w:ascii="仿宋_GB2312" w:hAnsi="宋体" w:eastAsia="仿宋_GB2312" w:cs="仿宋_GB2312"/>
          <w:sz w:val="32"/>
          <w:szCs w:val="32"/>
          <w:shd w:val="clear" w:color="FFFFFF" w:fill="D9D9D9"/>
          <w:lang w:eastAsia="zh-CN"/>
        </w:rPr>
        <w:drawing>
          <wp:inline distT="0" distB="0" distL="114300" distR="114300">
            <wp:extent cx="5268595" cy="3402965"/>
            <wp:effectExtent l="0" t="0" r="8255" b="6985"/>
            <wp:docPr id="2" name="图片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
                    <pic:cNvPicPr>
                      <a:picLocks noChangeAspect="1"/>
                    </pic:cNvPicPr>
                  </pic:nvPicPr>
                  <pic:blipFill>
                    <a:blip r:embed="rId7"/>
                    <a:stretch>
                      <a:fillRect/>
                    </a:stretch>
                  </pic:blipFill>
                  <pic:spPr>
                    <a:xfrm>
                      <a:off x="0" y="0"/>
                      <a:ext cx="5268595" cy="3402965"/>
                    </a:xfrm>
                    <a:prstGeom prst="rect">
                      <a:avLst/>
                    </a:prstGeom>
                  </pic:spPr>
                </pic:pic>
              </a:graphicData>
            </a:graphic>
          </wp:inline>
        </w:drawing>
      </w:r>
      <w:r>
        <w:rPr>
          <w:rFonts w:hint="eastAsia" w:ascii="仿宋_GB2312" w:hAnsi="宋体" w:eastAsia="仿宋_GB2312" w:cs="仿宋_GB2312"/>
          <w:sz w:val="32"/>
          <w:szCs w:val="32"/>
          <w:shd w:val="clear" w:color="FFFFFF" w:fill="D9D9D9"/>
          <w:lang w:eastAsia="zh-CN"/>
        </w:rPr>
        <w:drawing>
          <wp:inline distT="0" distB="0" distL="114300" distR="114300">
            <wp:extent cx="5271135" cy="1815465"/>
            <wp:effectExtent l="0" t="0" r="5715" b="13335"/>
            <wp:docPr id="3" name="图片 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
                    <pic:cNvPicPr>
                      <a:picLocks noChangeAspect="1"/>
                    </pic:cNvPicPr>
                  </pic:nvPicPr>
                  <pic:blipFill>
                    <a:blip r:embed="rId8"/>
                    <a:stretch>
                      <a:fillRect/>
                    </a:stretch>
                  </pic:blipFill>
                  <pic:spPr>
                    <a:xfrm>
                      <a:off x="0" y="0"/>
                      <a:ext cx="5271135" cy="1815465"/>
                    </a:xfrm>
                    <a:prstGeom prst="rect">
                      <a:avLst/>
                    </a:prstGeom>
                  </pic:spPr>
                </pic:pic>
              </a:graphicData>
            </a:graphic>
          </wp:inline>
        </w:drawing>
      </w:r>
      <w:r>
        <w:rPr>
          <w:rFonts w:hint="eastAsia" w:ascii="仿宋_GB2312" w:hAnsi="宋体" w:eastAsia="仿宋_GB2312" w:cs="仿宋_GB2312"/>
          <w:sz w:val="32"/>
          <w:szCs w:val="32"/>
          <w:shd w:val="clear" w:color="FFFFFF" w:fill="D9D9D9"/>
          <w:lang w:eastAsia="zh-CN"/>
        </w:rPr>
        <w:drawing>
          <wp:inline distT="0" distB="0" distL="114300" distR="114300">
            <wp:extent cx="5269865" cy="2849880"/>
            <wp:effectExtent l="0" t="0" r="6985" b="7620"/>
            <wp:docPr id="4" name="图片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
                    <pic:cNvPicPr>
                      <a:picLocks noChangeAspect="1"/>
                    </pic:cNvPicPr>
                  </pic:nvPicPr>
                  <pic:blipFill>
                    <a:blip r:embed="rId9"/>
                    <a:stretch>
                      <a:fillRect/>
                    </a:stretch>
                  </pic:blipFill>
                  <pic:spPr>
                    <a:xfrm>
                      <a:off x="0" y="0"/>
                      <a:ext cx="5269865" cy="2849880"/>
                    </a:xfrm>
                    <a:prstGeom prst="rect">
                      <a:avLst/>
                    </a:prstGeom>
                  </pic:spPr>
                </pic:pic>
              </a:graphicData>
            </a:graphic>
          </wp:inline>
        </w:drawing>
      </w:r>
      <w:r>
        <w:rPr>
          <w:rFonts w:hint="eastAsia" w:ascii="仿宋_GB2312" w:hAnsi="宋体" w:eastAsia="仿宋_GB2312" w:cs="仿宋_GB2312"/>
          <w:sz w:val="32"/>
          <w:szCs w:val="32"/>
          <w:shd w:val="clear" w:color="FFFFFF" w:fill="D9D9D9"/>
          <w:lang w:eastAsia="zh-CN"/>
        </w:rPr>
        <w:drawing>
          <wp:inline distT="0" distB="0" distL="114300" distR="114300">
            <wp:extent cx="5265420" cy="3883025"/>
            <wp:effectExtent l="0" t="0" r="11430" b="3175"/>
            <wp:docPr id="5" name="图片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
                    <pic:cNvPicPr>
                      <a:picLocks noChangeAspect="1"/>
                    </pic:cNvPicPr>
                  </pic:nvPicPr>
                  <pic:blipFill>
                    <a:blip r:embed="rId10"/>
                    <a:stretch>
                      <a:fillRect/>
                    </a:stretch>
                  </pic:blipFill>
                  <pic:spPr>
                    <a:xfrm>
                      <a:off x="0" y="0"/>
                      <a:ext cx="5265420" cy="3883025"/>
                    </a:xfrm>
                    <a:prstGeom prst="rect">
                      <a:avLst/>
                    </a:prstGeom>
                  </pic:spPr>
                </pic:pic>
              </a:graphicData>
            </a:graphic>
          </wp:inline>
        </w:drawing>
      </w:r>
      <w:r>
        <w:rPr>
          <w:rFonts w:hint="eastAsia" w:ascii="仿宋_GB2312" w:hAnsi="宋体" w:eastAsia="仿宋_GB2312" w:cs="仿宋_GB2312"/>
          <w:sz w:val="32"/>
          <w:szCs w:val="32"/>
          <w:shd w:val="clear" w:color="FFFFFF" w:fill="D9D9D9"/>
          <w:lang w:eastAsia="zh-CN"/>
        </w:rPr>
        <w:drawing>
          <wp:inline distT="0" distB="0" distL="114300" distR="114300">
            <wp:extent cx="5273675" cy="995680"/>
            <wp:effectExtent l="0" t="0" r="3175" b="13970"/>
            <wp:docPr id="6" name="图片 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7"/>
                    <pic:cNvPicPr>
                      <a:picLocks noChangeAspect="1"/>
                    </pic:cNvPicPr>
                  </pic:nvPicPr>
                  <pic:blipFill>
                    <a:blip r:embed="rId11"/>
                    <a:stretch>
                      <a:fillRect/>
                    </a:stretch>
                  </pic:blipFill>
                  <pic:spPr>
                    <a:xfrm>
                      <a:off x="0" y="0"/>
                      <a:ext cx="5273675" cy="995680"/>
                    </a:xfrm>
                    <a:prstGeom prst="rect">
                      <a:avLst/>
                    </a:prstGeom>
                  </pic:spPr>
                </pic:pic>
              </a:graphicData>
            </a:graphic>
          </wp:inline>
        </w:drawing>
      </w:r>
      <w:r>
        <w:rPr>
          <w:rFonts w:hint="eastAsia" w:ascii="仿宋_GB2312" w:hAnsi="宋体" w:eastAsia="仿宋_GB2312" w:cs="仿宋_GB2312"/>
          <w:sz w:val="32"/>
          <w:szCs w:val="32"/>
          <w:shd w:val="clear" w:color="FFFFFF" w:fill="D9D9D9"/>
          <w:lang w:eastAsia="zh-CN"/>
        </w:rPr>
        <w:drawing>
          <wp:inline distT="0" distB="0" distL="114300" distR="114300">
            <wp:extent cx="5270500" cy="1003935"/>
            <wp:effectExtent l="0" t="0" r="6350" b="5715"/>
            <wp:docPr id="7" name="图片 7"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8"/>
                    <pic:cNvPicPr>
                      <a:picLocks noChangeAspect="1"/>
                    </pic:cNvPicPr>
                  </pic:nvPicPr>
                  <pic:blipFill>
                    <a:blip r:embed="rId12"/>
                    <a:stretch>
                      <a:fillRect/>
                    </a:stretch>
                  </pic:blipFill>
                  <pic:spPr>
                    <a:xfrm>
                      <a:off x="0" y="0"/>
                      <a:ext cx="5270500" cy="1003935"/>
                    </a:xfrm>
                    <a:prstGeom prst="rect">
                      <a:avLst/>
                    </a:prstGeom>
                  </pic:spPr>
                </pic:pic>
              </a:graphicData>
            </a:graphic>
          </wp:inline>
        </w:drawing>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（一）农林水支出（类）水利（款）</w:t>
      </w:r>
    </w:p>
    <w:p>
      <w:pPr>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水利工程建设（项）：反映水利系统用于江、河、湖、滩等水利工程建设支出，包括堤防、河道、水库、水利枢纽、涵闸、灌区、供水、蓄滞洪区等水利工程及其附属设备、设施的建设、更新改造、大中型病险水库防险、大型灌区改造、农村电气化建设等支出。</w:t>
      </w:r>
    </w:p>
    <w:p>
      <w:pPr>
        <w:widowControl/>
        <w:numPr>
          <w:ilvl w:val="0"/>
          <w:numId w:val="0"/>
        </w:numPr>
        <w:spacing w:line="580" w:lineRule="exact"/>
        <w:ind w:firstLine="640" w:firstLineChars="200"/>
        <w:jc w:val="left"/>
        <w:rPr>
          <w:rFonts w:hint="eastAsia" w:ascii="仿宋" w:hAnsi="仿宋" w:eastAsia="仿宋" w:cs="仿宋"/>
          <w:kern w:val="0"/>
          <w:sz w:val="32"/>
          <w:szCs w:val="32"/>
          <w:lang w:eastAsia="zh-CN"/>
        </w:rPr>
      </w:pPr>
      <w:r>
        <w:rPr>
          <w:rFonts w:hint="eastAsia" w:ascii="仿宋_GB2312" w:eastAsia="仿宋_GB2312" w:cs="Times New Roman"/>
          <w:sz w:val="32"/>
          <w:szCs w:val="32"/>
          <w:lang w:val="en-US" w:eastAsia="zh-CN"/>
        </w:rPr>
        <w:t>（二）</w:t>
      </w:r>
      <w:r>
        <w:rPr>
          <w:rFonts w:hint="eastAsia" w:ascii="仿宋" w:hAnsi="仿宋" w:eastAsia="仿宋" w:cs="仿宋"/>
          <w:kern w:val="0"/>
          <w:sz w:val="32"/>
          <w:szCs w:val="32"/>
          <w:lang w:eastAsia="zh-CN"/>
        </w:rPr>
        <w:t>社会保障和就业支出（类）行政事业单位养老保险支出（款）</w:t>
      </w:r>
    </w:p>
    <w:p>
      <w:pPr>
        <w:widowControl/>
        <w:spacing w:line="580" w:lineRule="exact"/>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机关事业单位基本养老保险缴费支出（项）</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是指反映机关事业单位实施养老保险制度由单位缴纳的基本养老保险费支出。</w:t>
      </w:r>
    </w:p>
    <w:p>
      <w:pPr>
        <w:widowControl/>
        <w:numPr>
          <w:ilvl w:val="0"/>
          <w:numId w:val="0"/>
        </w:numPr>
        <w:spacing w:line="580" w:lineRule="exact"/>
        <w:ind w:leftChars="200" w:firstLine="320" w:firstLineChars="1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三</w:t>
      </w:r>
      <w:r>
        <w:rPr>
          <w:rFonts w:hint="eastAsia" w:ascii="仿宋" w:hAnsi="仿宋" w:eastAsia="仿宋" w:cs="仿宋"/>
          <w:kern w:val="0"/>
          <w:sz w:val="32"/>
          <w:szCs w:val="32"/>
          <w:lang w:eastAsia="zh-CN"/>
        </w:rPr>
        <w:t>）卫生健康支出（类）行政事业单位医疗（款）</w:t>
      </w:r>
    </w:p>
    <w:p>
      <w:pPr>
        <w:widowControl/>
        <w:numPr>
          <w:ilvl w:val="0"/>
          <w:numId w:val="0"/>
        </w:numPr>
        <w:spacing w:line="580" w:lineRule="exact"/>
        <w:ind w:leftChars="200"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eastAsia="zh-CN"/>
        </w:rPr>
        <w:t>事业单位医疗（项）：是指反映财政部门安排的事业单位基本医疗保险缴费经费，未参加医疗保险的事业单位的公费医疗经费，按国家规定享受离休人员待</w:t>
      </w:r>
      <w:r>
        <w:rPr>
          <w:rFonts w:hint="eastAsia" w:ascii="仿宋" w:hAnsi="仿宋" w:eastAsia="仿宋" w:cs="仿宋"/>
          <w:kern w:val="0"/>
          <w:sz w:val="32"/>
          <w:szCs w:val="32"/>
          <w:lang w:val="en-US" w:eastAsia="zh-CN"/>
        </w:rPr>
        <w:t>遇的医疗经费。</w:t>
      </w:r>
    </w:p>
    <w:p>
      <w:pPr>
        <w:widowControl/>
        <w:numPr>
          <w:ilvl w:val="0"/>
          <w:numId w:val="0"/>
        </w:numPr>
        <w:spacing w:line="580" w:lineRule="exact"/>
        <w:ind w:leftChars="200"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公务员医疗补助（项）：是指反映财政部门安排的公务员医疗补助经费。</w:t>
      </w:r>
    </w:p>
    <w:p>
      <w:pPr>
        <w:widowControl/>
        <w:numPr>
          <w:ilvl w:val="0"/>
          <w:numId w:val="0"/>
        </w:numPr>
        <w:spacing w:line="580" w:lineRule="exact"/>
        <w:ind w:leftChars="200" w:firstLine="640" w:firstLineChars="20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其他行政事业单位医疗支出（项）：是指反映财政部门集中安排的行政单位基本医疗保险缴费经费，未参加医疗保险的行政单位的公费医疗经费，按国家规定享受离休人员、红军战士</w:t>
      </w:r>
      <w:r>
        <w:rPr>
          <w:rFonts w:hint="eastAsia" w:ascii="仿宋" w:hAnsi="仿宋" w:eastAsia="仿宋" w:cs="仿宋"/>
          <w:kern w:val="0"/>
          <w:sz w:val="32"/>
          <w:szCs w:val="32"/>
          <w:lang w:eastAsia="zh-CN"/>
        </w:rPr>
        <w:t>待</w:t>
      </w:r>
      <w:r>
        <w:rPr>
          <w:rFonts w:hint="eastAsia" w:ascii="仿宋" w:hAnsi="仿宋" w:eastAsia="仿宋" w:cs="仿宋"/>
          <w:kern w:val="0"/>
          <w:sz w:val="32"/>
          <w:szCs w:val="32"/>
          <w:lang w:val="en-US" w:eastAsia="zh-CN"/>
        </w:rPr>
        <w:t>遇人员的医疗经费。</w:t>
      </w:r>
    </w:p>
    <w:p>
      <w:pPr>
        <w:numPr>
          <w:ilvl w:val="0"/>
          <w:numId w:val="0"/>
        </w:numPr>
        <w:ind w:firstLine="960" w:firstLineChars="300"/>
        <w:rPr>
          <w:rFonts w:hint="eastAsia" w:ascii="仿宋" w:hAnsi="仿宋" w:eastAsia="仿宋" w:cs="仿宋"/>
          <w:bCs/>
          <w:sz w:val="32"/>
          <w:szCs w:val="32"/>
        </w:rPr>
      </w:pP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四</w:t>
      </w:r>
      <w:r>
        <w:rPr>
          <w:rFonts w:hint="eastAsia" w:ascii="仿宋" w:hAnsi="仿宋" w:eastAsia="仿宋" w:cs="仿宋"/>
          <w:bCs/>
          <w:sz w:val="32"/>
          <w:szCs w:val="32"/>
          <w:lang w:eastAsia="zh-CN"/>
        </w:rPr>
        <w:t>）住房保障支出（类）住房改革支出（款）</w:t>
      </w:r>
    </w:p>
    <w:p>
      <w:pPr>
        <w:numPr>
          <w:ilvl w:val="0"/>
          <w:numId w:val="0"/>
        </w:numPr>
        <w:ind w:left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    住房公积金（项）：是指反映行政事业单位按人力资源和社会保障部、财政部规定的基本工资和津贴以及规定比例为职工缴纳的住房公积金。</w:t>
      </w:r>
    </w:p>
    <w:p>
      <w:pPr>
        <w:ind w:firstLine="640" w:firstLineChars="200"/>
        <w:rPr>
          <w:rFonts w:hint="default" w:ascii="仿宋_GB2312" w:eastAsia="仿宋_GB2312" w:cs="Times New Roman"/>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C751AC"/>
    <w:multiLevelType w:val="singleLevel"/>
    <w:tmpl w:val="BAC751AC"/>
    <w:lvl w:ilvl="0" w:tentative="0">
      <w:start w:val="3"/>
      <w:numFmt w:val="chineseCounting"/>
      <w:suff w:val="space"/>
      <w:lvlText w:val="第%1部分"/>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BF216E"/>
    <w:rsid w:val="0DBC4EE4"/>
    <w:rsid w:val="0FCB58D0"/>
    <w:rsid w:val="11427CB1"/>
    <w:rsid w:val="13776316"/>
    <w:rsid w:val="139E3D52"/>
    <w:rsid w:val="162B4B72"/>
    <w:rsid w:val="18AC060B"/>
    <w:rsid w:val="19076E1D"/>
    <w:rsid w:val="1EBD751D"/>
    <w:rsid w:val="1F117155"/>
    <w:rsid w:val="204B45CE"/>
    <w:rsid w:val="25705B71"/>
    <w:rsid w:val="2D465873"/>
    <w:rsid w:val="2D4F2EA5"/>
    <w:rsid w:val="2DBB222D"/>
    <w:rsid w:val="31D40AAE"/>
    <w:rsid w:val="32A772C9"/>
    <w:rsid w:val="3BD871B8"/>
    <w:rsid w:val="3CF55A87"/>
    <w:rsid w:val="429A727D"/>
    <w:rsid w:val="4BB62B9C"/>
    <w:rsid w:val="4C0B7195"/>
    <w:rsid w:val="4D3B293C"/>
    <w:rsid w:val="4EC30DE7"/>
    <w:rsid w:val="51B40312"/>
    <w:rsid w:val="57CC144D"/>
    <w:rsid w:val="598F571B"/>
    <w:rsid w:val="5F630C38"/>
    <w:rsid w:val="61F32950"/>
    <w:rsid w:val="62B20F12"/>
    <w:rsid w:val="641E7445"/>
    <w:rsid w:val="647941B6"/>
    <w:rsid w:val="689472B2"/>
    <w:rsid w:val="71452C49"/>
    <w:rsid w:val="73224148"/>
    <w:rsid w:val="7508272B"/>
    <w:rsid w:val="776E35B0"/>
    <w:rsid w:val="78407196"/>
    <w:rsid w:val="79BD4FD6"/>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13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dcterms:modified xsi:type="dcterms:W3CDTF">2020-06-19T08:00:08Z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